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06" w:rsidRPr="009A7278" w:rsidRDefault="00C57A49" w:rsidP="009A7278">
      <w:pPr>
        <w:snapToGrid w:val="0"/>
        <w:jc w:val="center"/>
        <w:rPr>
          <w:rFonts w:ascii="方正小标宋简体" w:eastAsia="方正小标宋简体" w:hAnsiTheme="minorEastAsia" w:cstheme="minorEastAsia"/>
          <w:b/>
          <w:bCs/>
          <w:sz w:val="44"/>
          <w:szCs w:val="28"/>
        </w:rPr>
      </w:pPr>
      <w:proofErr w:type="gramStart"/>
      <w:r w:rsidRPr="009A7278">
        <w:rPr>
          <w:rFonts w:ascii="方正小标宋简体" w:eastAsia="方正小标宋简体" w:hAnsiTheme="minorEastAsia" w:cstheme="minorEastAsia" w:hint="eastAsia"/>
          <w:b/>
          <w:bCs/>
          <w:sz w:val="44"/>
          <w:szCs w:val="28"/>
        </w:rPr>
        <w:t>赣浙国</w:t>
      </w:r>
      <w:proofErr w:type="gramEnd"/>
      <w:r w:rsidRPr="009A7278">
        <w:rPr>
          <w:rFonts w:ascii="方正小标宋简体" w:eastAsia="方正小标宋简体" w:hAnsiTheme="minorEastAsia" w:cstheme="minorEastAsia" w:hint="eastAsia"/>
          <w:b/>
          <w:bCs/>
          <w:sz w:val="44"/>
          <w:szCs w:val="28"/>
        </w:rPr>
        <w:t>华（信丰）发电有限责任公司</w:t>
      </w:r>
    </w:p>
    <w:p w:rsidR="006A0206" w:rsidRPr="009A7278" w:rsidRDefault="00C57A49" w:rsidP="009A7278">
      <w:pPr>
        <w:snapToGrid w:val="0"/>
        <w:jc w:val="center"/>
        <w:rPr>
          <w:rFonts w:ascii="方正小标宋简体" w:eastAsia="方正小标宋简体" w:hAnsiTheme="minorEastAsia" w:cstheme="minorEastAsia"/>
          <w:b/>
          <w:bCs/>
          <w:sz w:val="44"/>
          <w:szCs w:val="28"/>
        </w:rPr>
      </w:pPr>
      <w:r w:rsidRPr="009A7278">
        <w:rPr>
          <w:rFonts w:ascii="方正小标宋简体" w:eastAsia="方正小标宋简体" w:hAnsiTheme="minorEastAsia" w:cstheme="minorEastAsia" w:hint="eastAsia"/>
          <w:b/>
          <w:bCs/>
          <w:sz w:val="44"/>
          <w:szCs w:val="28"/>
        </w:rPr>
        <w:t>招聘简章</w:t>
      </w:r>
    </w:p>
    <w:p w:rsidR="009A7278" w:rsidRDefault="009A7278" w:rsidP="009A7278">
      <w:pPr>
        <w:snapToGrid w:val="0"/>
        <w:spacing w:line="440" w:lineRule="exact"/>
        <w:ind w:firstLineChars="200" w:firstLine="643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6A0206" w:rsidRPr="009A7278" w:rsidRDefault="00C57A49" w:rsidP="009A7278">
      <w:pPr>
        <w:snapToGrid w:val="0"/>
        <w:spacing w:line="440" w:lineRule="exact"/>
        <w:ind w:firstLineChars="200" w:firstLine="602"/>
        <w:rPr>
          <w:rFonts w:ascii="仿宋_GB2312" w:eastAsia="仿宋_GB2312" w:hAnsiTheme="minorEastAsia" w:cstheme="minorEastAsia"/>
          <w:b/>
          <w:bCs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b/>
          <w:bCs/>
          <w:sz w:val="30"/>
          <w:szCs w:val="30"/>
        </w:rPr>
        <w:t>一、公司简介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color w:val="FF0000"/>
          <w:sz w:val="30"/>
          <w:szCs w:val="30"/>
        </w:rPr>
      </w:pPr>
      <w:proofErr w:type="gramStart"/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赣浙国</w:t>
      </w:r>
      <w:proofErr w:type="gramEnd"/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华（信丰）发电有</w:t>
      </w:r>
      <w:r w:rsidRPr="009A7278">
        <w:rPr>
          <w:rFonts w:ascii="仿宋_GB2312" w:eastAsia="仿宋_GB2312" w:hAnsiTheme="minorEastAsia" w:cstheme="minorEastAsia" w:hint="eastAsia"/>
          <w:color w:val="000000" w:themeColor="text1"/>
          <w:sz w:val="30"/>
          <w:szCs w:val="30"/>
        </w:rPr>
        <w:t>限责任公司由</w:t>
      </w:r>
      <w:proofErr w:type="gramStart"/>
      <w:r w:rsidRPr="009A7278">
        <w:rPr>
          <w:rFonts w:ascii="仿宋_GB2312" w:eastAsia="仿宋_GB2312" w:hAnsiTheme="minorEastAsia" w:cstheme="minorEastAsia" w:hint="eastAsia"/>
          <w:color w:val="000000" w:themeColor="text1"/>
          <w:sz w:val="30"/>
          <w:szCs w:val="30"/>
        </w:rPr>
        <w:t>江西省赣浙能源</w:t>
      </w:r>
      <w:proofErr w:type="gramEnd"/>
      <w:r w:rsidRPr="009A7278">
        <w:rPr>
          <w:rFonts w:ascii="仿宋_GB2312" w:eastAsia="仿宋_GB2312" w:hAnsiTheme="minorEastAsia" w:cstheme="minorEastAsia" w:hint="eastAsia"/>
          <w:color w:val="000000" w:themeColor="text1"/>
          <w:sz w:val="30"/>
          <w:szCs w:val="30"/>
        </w:rPr>
        <w:t>有限公司与北京国华电力有限责任公司共同出资组建，注册资本金10亿元。信丰电厂项目总投资达120亿元，分两期建设2×660MW，2×1000MW超</w:t>
      </w:r>
      <w:proofErr w:type="gramStart"/>
      <w:r w:rsidRPr="009A7278">
        <w:rPr>
          <w:rFonts w:ascii="仿宋_GB2312" w:eastAsia="仿宋_GB2312" w:hAnsiTheme="minorEastAsia" w:cstheme="minorEastAsia" w:hint="eastAsia"/>
          <w:color w:val="000000" w:themeColor="text1"/>
          <w:sz w:val="30"/>
          <w:szCs w:val="30"/>
        </w:rPr>
        <w:t>超</w:t>
      </w:r>
      <w:proofErr w:type="gramEnd"/>
      <w:r w:rsidRPr="009A7278">
        <w:rPr>
          <w:rFonts w:ascii="仿宋_GB2312" w:eastAsia="仿宋_GB2312" w:hAnsiTheme="minorEastAsia" w:cstheme="minorEastAsia" w:hint="eastAsia"/>
          <w:color w:val="000000" w:themeColor="text1"/>
          <w:sz w:val="30"/>
          <w:szCs w:val="30"/>
        </w:rPr>
        <w:t>临界燃煤发电机组，同步安装先进的除尘、脱硫、脱硝设施。该项目是</w:t>
      </w:r>
      <w:proofErr w:type="gramStart"/>
      <w:r w:rsidRPr="009A7278">
        <w:rPr>
          <w:rFonts w:ascii="仿宋_GB2312" w:eastAsia="仿宋_GB2312" w:hAnsiTheme="minorEastAsia" w:cstheme="minorEastAsia" w:hint="eastAsia"/>
          <w:color w:val="000000" w:themeColor="text1"/>
          <w:sz w:val="30"/>
          <w:szCs w:val="30"/>
        </w:rPr>
        <w:t>国家发改委</w:t>
      </w:r>
      <w:proofErr w:type="gramEnd"/>
      <w:r w:rsidRPr="009A7278">
        <w:rPr>
          <w:rFonts w:ascii="仿宋_GB2312" w:eastAsia="仿宋_GB2312" w:hAnsiTheme="minorEastAsia" w:cstheme="minorEastAsia" w:hint="eastAsia"/>
          <w:color w:val="000000" w:themeColor="text1"/>
          <w:sz w:val="30"/>
          <w:szCs w:val="30"/>
        </w:rPr>
        <w:t>（能源局）对口支援赣南的能源项目，已纳入国家电力发展“十三五”规划。项目地址位于赣州市信丰县大塘埠镇，距信丰县城15分钟车程，生态宜居、交通便捷，</w:t>
      </w:r>
      <w:proofErr w:type="gramStart"/>
      <w:r w:rsidRPr="009A7278">
        <w:rPr>
          <w:rFonts w:ascii="仿宋_GB2312" w:eastAsia="仿宋_GB2312" w:hAnsiTheme="minorEastAsia" w:cstheme="minorEastAsia" w:hint="eastAsia"/>
          <w:color w:val="000000" w:themeColor="text1"/>
          <w:sz w:val="30"/>
          <w:szCs w:val="30"/>
        </w:rPr>
        <w:t>昌赣高铁</w:t>
      </w:r>
      <w:proofErr w:type="gramEnd"/>
      <w:r w:rsidRPr="009A7278">
        <w:rPr>
          <w:rFonts w:ascii="仿宋_GB2312" w:eastAsia="仿宋_GB2312" w:hAnsiTheme="minorEastAsia" w:cstheme="minorEastAsia" w:hint="eastAsia"/>
          <w:color w:val="000000" w:themeColor="text1"/>
          <w:sz w:val="30"/>
          <w:szCs w:val="30"/>
        </w:rPr>
        <w:t>直达南昌2小时，赣深高铁通车后直达广州仅需1个多小时。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2"/>
        <w:rPr>
          <w:rFonts w:ascii="仿宋_GB2312" w:eastAsia="仿宋_GB2312" w:hAnsiTheme="minorEastAsia" w:cstheme="minorEastAsia"/>
          <w:b/>
          <w:bCs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b/>
          <w:bCs/>
          <w:sz w:val="30"/>
          <w:szCs w:val="30"/>
        </w:rPr>
        <w:t>二、招聘原则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1、公开、公正、公平原则：坚持招聘规则、操作程序、评价办法及标准公开，任职资格设定、资格初审、各环节评分公平公正，从学识、品德、能力、经历、体格、符合岗位要求等方面进行全面考核。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2、竞争、择优原则：坚持任人唯贤、德才兼备、</w:t>
      </w:r>
      <w:proofErr w:type="gramStart"/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人岗匹配</w:t>
      </w:r>
      <w:proofErr w:type="gramEnd"/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，同等条件下按候选人排序择优录取，若</w:t>
      </w:r>
      <w:proofErr w:type="gramStart"/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某岗位</w:t>
      </w:r>
      <w:proofErr w:type="gramEnd"/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确无合适人选，</w:t>
      </w:r>
      <w:proofErr w:type="gramStart"/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该岗位</w:t>
      </w:r>
      <w:proofErr w:type="gramEnd"/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招聘可以空缺。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2"/>
        <w:rPr>
          <w:rFonts w:ascii="仿宋_GB2312" w:eastAsia="仿宋_GB2312" w:hAnsiTheme="minorEastAsia" w:cstheme="minorEastAsia"/>
          <w:b/>
          <w:bCs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b/>
          <w:bCs/>
          <w:sz w:val="30"/>
          <w:szCs w:val="30"/>
        </w:rPr>
        <w:t>三、报名条件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1、有较强的事业心、责任感，具有开拓创新意识和积极进取、团结协作精神，有较强的组织管理与沟通协调能力，能够独当一面；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2、身体健康，无职业禁忌病史，具有正常履行职责的身体条件和符合岗位要求的工作能力，无犯罪记录；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3、符合要求的任职条件。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2"/>
        <w:rPr>
          <w:rFonts w:ascii="仿宋_GB2312" w:eastAsia="仿宋_GB2312" w:hAnsiTheme="minorEastAsia" w:cstheme="minorEastAsia"/>
          <w:b/>
          <w:bCs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b/>
          <w:bCs/>
          <w:sz w:val="30"/>
          <w:szCs w:val="30"/>
        </w:rPr>
        <w:t>四、招聘程序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bCs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bCs/>
          <w:sz w:val="30"/>
          <w:szCs w:val="30"/>
        </w:rPr>
        <w:t>1、网上报名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bCs/>
          <w:sz w:val="30"/>
          <w:szCs w:val="30"/>
        </w:rPr>
        <w:t>下载填报《应聘人员登记表》（附件1），并附上有关个人证件、学历证书、获奖证明等材料发送至zhaopin@jxgzny.com。根据需要还可以在北极星招聘网上投递简历。</w:t>
      </w: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详情咨询：0797-7706766，联系人：张先生。</w:t>
      </w:r>
    </w:p>
    <w:p w:rsidR="001A5B82" w:rsidRPr="009A7278" w:rsidRDefault="001A5B82" w:rsidP="009A7278">
      <w:pPr>
        <w:snapToGrid w:val="0"/>
        <w:spacing w:line="440" w:lineRule="exact"/>
        <w:ind w:firstLineChars="200" w:firstLine="602"/>
        <w:rPr>
          <w:rFonts w:ascii="仿宋_GB2312" w:eastAsia="仿宋_GB2312" w:hAnsiTheme="minorEastAsia" w:cstheme="minorEastAsia"/>
          <w:b/>
          <w:bCs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b/>
          <w:sz w:val="30"/>
          <w:szCs w:val="30"/>
        </w:rPr>
        <w:t>报名截止时间：2020年5月2</w:t>
      </w:r>
      <w:r w:rsidR="00E96B4E" w:rsidRPr="009A7278">
        <w:rPr>
          <w:rFonts w:ascii="仿宋_GB2312" w:eastAsia="仿宋_GB2312" w:hAnsiTheme="minorEastAsia" w:cstheme="minorEastAsia" w:hint="eastAsia"/>
          <w:b/>
          <w:sz w:val="30"/>
          <w:szCs w:val="30"/>
        </w:rPr>
        <w:t>3</w:t>
      </w:r>
      <w:r w:rsidRPr="009A7278">
        <w:rPr>
          <w:rFonts w:ascii="仿宋_GB2312" w:eastAsia="仿宋_GB2312" w:hAnsiTheme="minorEastAsia" w:cstheme="minorEastAsia" w:hint="eastAsia"/>
          <w:b/>
          <w:sz w:val="30"/>
          <w:szCs w:val="30"/>
        </w:rPr>
        <w:t>日。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2、筛选简历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按照各岗位有关要求，初步筛选应聘人员简历，确定参加测试的人员。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lastRenderedPageBreak/>
        <w:t>3、组织测试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根据岗位应聘情况，分批组织测试。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4、录用审核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总成绩择优入围拟录用人选，接受公司安排的入职体检和资格条件审核。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5、办理入职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手续体检合格，资格条件审核通过后，公司与录用人员签订劳动合同。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2"/>
        <w:rPr>
          <w:rFonts w:ascii="仿宋_GB2312" w:eastAsia="仿宋_GB2312" w:hAnsiTheme="minorEastAsia" w:cstheme="minorEastAsia"/>
          <w:b/>
          <w:bCs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b/>
          <w:bCs/>
          <w:sz w:val="30"/>
          <w:szCs w:val="30"/>
        </w:rPr>
        <w:t>五、薪酬福利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1、薪酬面议（提供与省内同等规模发电企业有竞争力的薪酬）；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2、缴纳五险</w:t>
      </w:r>
      <w:proofErr w:type="gramStart"/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一</w:t>
      </w:r>
      <w:proofErr w:type="gramEnd"/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金；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3、享受业务培训、带薪休假、健康体检及节日慰问等职工福利及国家规定法定假期。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2"/>
        <w:rPr>
          <w:rFonts w:ascii="仿宋_GB2312" w:eastAsia="仿宋_GB2312" w:hAnsiTheme="minorEastAsia" w:cstheme="minorEastAsia"/>
          <w:b/>
          <w:bCs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b/>
          <w:bCs/>
          <w:sz w:val="30"/>
          <w:szCs w:val="30"/>
        </w:rPr>
        <w:t>六、注意事项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1、每位应聘者只能申报1个岗位。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sz w:val="30"/>
          <w:szCs w:val="30"/>
        </w:rPr>
        <w:t>2、应聘登记表填写必须真实、完整、准确，因刻意隐瞒、提供虚假信息带来的一切后果，由应聘者本人承担。</w:t>
      </w:r>
    </w:p>
    <w:p w:rsidR="006A0206" w:rsidRPr="009A7278" w:rsidRDefault="00C57A49" w:rsidP="009A7278">
      <w:pPr>
        <w:snapToGrid w:val="0"/>
        <w:spacing w:line="440" w:lineRule="exact"/>
        <w:ind w:firstLineChars="200" w:firstLine="602"/>
        <w:rPr>
          <w:rFonts w:ascii="仿宋_GB2312" w:eastAsia="仿宋_GB2312" w:hAnsiTheme="minorEastAsia" w:cstheme="minorEastAsia"/>
          <w:b/>
          <w:bCs/>
          <w:sz w:val="30"/>
          <w:szCs w:val="30"/>
        </w:rPr>
      </w:pPr>
      <w:r w:rsidRPr="009A7278">
        <w:rPr>
          <w:rFonts w:ascii="仿宋_GB2312" w:eastAsia="仿宋_GB2312" w:hAnsiTheme="minorEastAsia" w:cstheme="minorEastAsia" w:hint="eastAsia"/>
          <w:b/>
          <w:bCs/>
          <w:sz w:val="30"/>
          <w:szCs w:val="30"/>
        </w:rPr>
        <w:t>七、招聘部门、岗位及人数</w:t>
      </w:r>
    </w:p>
    <w:tbl>
      <w:tblPr>
        <w:tblStyle w:val="a6"/>
        <w:tblW w:w="7540" w:type="dxa"/>
        <w:jc w:val="center"/>
        <w:tblLayout w:type="fixed"/>
        <w:tblLook w:val="04A0" w:firstRow="1" w:lastRow="0" w:firstColumn="1" w:lastColumn="0" w:noHBand="0" w:noVBand="1"/>
      </w:tblPr>
      <w:tblGrid>
        <w:gridCol w:w="999"/>
        <w:gridCol w:w="2033"/>
        <w:gridCol w:w="3164"/>
        <w:gridCol w:w="1344"/>
      </w:tblGrid>
      <w:tr w:rsidR="006A0206" w:rsidRPr="009A7278" w:rsidTr="009A7278">
        <w:trPr>
          <w:trHeight w:val="226"/>
          <w:jc w:val="center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6A0206" w:rsidRPr="009A7278" w:rsidRDefault="00C57A49" w:rsidP="009A7278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b/>
                <w:bCs/>
                <w:sz w:val="30"/>
                <w:szCs w:val="30"/>
              </w:rPr>
            </w:pPr>
            <w:r w:rsidRPr="009A7278">
              <w:rPr>
                <w:rFonts w:ascii="仿宋_GB2312" w:eastAsia="仿宋_GB2312" w:hAnsiTheme="minorEastAsia" w:cstheme="minorEastAsia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033" w:type="dxa"/>
            <w:vAlign w:val="center"/>
          </w:tcPr>
          <w:p w:rsidR="006A0206" w:rsidRPr="009A7278" w:rsidRDefault="00C57A49" w:rsidP="009A7278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b/>
                <w:bCs/>
                <w:sz w:val="30"/>
                <w:szCs w:val="30"/>
              </w:rPr>
            </w:pPr>
            <w:r w:rsidRPr="009A7278">
              <w:rPr>
                <w:rFonts w:ascii="仿宋_GB2312" w:eastAsia="仿宋_GB2312" w:hAnsiTheme="minorEastAsia" w:cstheme="minorEastAsia" w:hint="eastAsia"/>
                <w:b/>
                <w:bCs/>
                <w:sz w:val="30"/>
                <w:szCs w:val="30"/>
              </w:rPr>
              <w:t>部门</w:t>
            </w:r>
          </w:p>
        </w:tc>
        <w:tc>
          <w:tcPr>
            <w:tcW w:w="3164" w:type="dxa"/>
            <w:vAlign w:val="center"/>
          </w:tcPr>
          <w:p w:rsidR="006A0206" w:rsidRPr="009A7278" w:rsidRDefault="00C57A49" w:rsidP="009A7278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b/>
                <w:bCs/>
                <w:sz w:val="30"/>
                <w:szCs w:val="30"/>
              </w:rPr>
            </w:pPr>
            <w:r w:rsidRPr="009A7278">
              <w:rPr>
                <w:rFonts w:ascii="仿宋_GB2312" w:eastAsia="仿宋_GB2312" w:hAnsiTheme="minorEastAsia" w:cstheme="minorEastAsia" w:hint="eastAsia"/>
                <w:b/>
                <w:bCs/>
                <w:sz w:val="30"/>
                <w:szCs w:val="30"/>
              </w:rPr>
              <w:t>岗位</w:t>
            </w:r>
          </w:p>
        </w:tc>
        <w:tc>
          <w:tcPr>
            <w:tcW w:w="1344" w:type="dxa"/>
            <w:vAlign w:val="center"/>
          </w:tcPr>
          <w:p w:rsidR="006A0206" w:rsidRPr="009A7278" w:rsidRDefault="00C57A49" w:rsidP="009A7278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b/>
                <w:bCs/>
                <w:sz w:val="30"/>
                <w:szCs w:val="30"/>
              </w:rPr>
            </w:pPr>
            <w:r w:rsidRPr="009A7278">
              <w:rPr>
                <w:rFonts w:ascii="仿宋_GB2312" w:eastAsia="仿宋_GB2312" w:hAnsiTheme="minorEastAsia" w:cstheme="minorEastAsia" w:hint="eastAsia"/>
                <w:b/>
                <w:bCs/>
                <w:sz w:val="30"/>
                <w:szCs w:val="30"/>
              </w:rPr>
              <w:t>人数</w:t>
            </w:r>
          </w:p>
        </w:tc>
      </w:tr>
      <w:tr w:rsidR="006A0206" w:rsidRPr="009A7278" w:rsidTr="009A7278">
        <w:trPr>
          <w:trHeight w:val="422"/>
          <w:jc w:val="center"/>
        </w:trPr>
        <w:tc>
          <w:tcPr>
            <w:tcW w:w="999" w:type="dxa"/>
            <w:tcBorders>
              <w:bottom w:val="single" w:sz="4" w:space="0" w:color="auto"/>
            </w:tcBorders>
            <w:vAlign w:val="bottom"/>
          </w:tcPr>
          <w:p w:rsidR="006A0206" w:rsidRPr="009A7278" w:rsidRDefault="00C57A49" w:rsidP="009A7278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 w:rsidRPr="009A7278"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1</w:t>
            </w:r>
          </w:p>
        </w:tc>
        <w:tc>
          <w:tcPr>
            <w:tcW w:w="2033" w:type="dxa"/>
            <w:vAlign w:val="bottom"/>
          </w:tcPr>
          <w:p w:rsidR="006A0206" w:rsidRPr="009A7278" w:rsidRDefault="00C57A49" w:rsidP="009A7278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 w:rsidRPr="009A7278"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党群工作部</w:t>
            </w:r>
          </w:p>
        </w:tc>
        <w:tc>
          <w:tcPr>
            <w:tcW w:w="3164" w:type="dxa"/>
            <w:vAlign w:val="bottom"/>
          </w:tcPr>
          <w:p w:rsidR="006A0206" w:rsidRPr="009A7278" w:rsidRDefault="00C57A49" w:rsidP="009A7278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 w:rsidRPr="009A7278"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党建专职</w:t>
            </w:r>
          </w:p>
        </w:tc>
        <w:tc>
          <w:tcPr>
            <w:tcW w:w="1344" w:type="dxa"/>
            <w:vAlign w:val="bottom"/>
          </w:tcPr>
          <w:p w:rsidR="006A0206" w:rsidRPr="009A7278" w:rsidRDefault="00C57A49" w:rsidP="009A7278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 w:rsidRPr="009A7278"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1人</w:t>
            </w:r>
          </w:p>
        </w:tc>
      </w:tr>
      <w:tr w:rsidR="006A0206" w:rsidRPr="009A7278" w:rsidTr="009A7278">
        <w:trPr>
          <w:trHeight w:val="422"/>
          <w:jc w:val="center"/>
        </w:trPr>
        <w:tc>
          <w:tcPr>
            <w:tcW w:w="999" w:type="dxa"/>
            <w:tcBorders>
              <w:bottom w:val="single" w:sz="4" w:space="0" w:color="auto"/>
            </w:tcBorders>
            <w:vAlign w:val="bottom"/>
          </w:tcPr>
          <w:p w:rsidR="006A0206" w:rsidRPr="009A7278" w:rsidRDefault="00C57A49" w:rsidP="009A7278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 w:rsidRPr="009A7278"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2</w:t>
            </w:r>
          </w:p>
        </w:tc>
        <w:tc>
          <w:tcPr>
            <w:tcW w:w="2033" w:type="dxa"/>
            <w:vAlign w:val="bottom"/>
          </w:tcPr>
          <w:p w:rsidR="006A0206" w:rsidRPr="009A7278" w:rsidRDefault="00C57A49" w:rsidP="009A7278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 w:rsidRPr="009A7278"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党群工作部</w:t>
            </w:r>
          </w:p>
        </w:tc>
        <w:tc>
          <w:tcPr>
            <w:tcW w:w="3164" w:type="dxa"/>
            <w:vAlign w:val="bottom"/>
          </w:tcPr>
          <w:p w:rsidR="006A0206" w:rsidRPr="009A7278" w:rsidRDefault="00C57A49" w:rsidP="009A7278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 w:rsidRPr="009A7278"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宣传专职</w:t>
            </w:r>
          </w:p>
        </w:tc>
        <w:tc>
          <w:tcPr>
            <w:tcW w:w="1344" w:type="dxa"/>
            <w:vAlign w:val="bottom"/>
          </w:tcPr>
          <w:p w:rsidR="006A0206" w:rsidRPr="009A7278" w:rsidRDefault="00C57A49" w:rsidP="009A7278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 w:rsidRPr="009A7278"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1人</w:t>
            </w:r>
          </w:p>
        </w:tc>
      </w:tr>
      <w:tr w:rsidR="006A0206" w:rsidRPr="009A7278" w:rsidTr="009A7278">
        <w:trPr>
          <w:trHeight w:val="444"/>
          <w:jc w:val="center"/>
        </w:trPr>
        <w:tc>
          <w:tcPr>
            <w:tcW w:w="6196" w:type="dxa"/>
            <w:gridSpan w:val="3"/>
            <w:vAlign w:val="center"/>
          </w:tcPr>
          <w:p w:rsidR="006A0206" w:rsidRPr="009A7278" w:rsidRDefault="00C57A49" w:rsidP="009A7278">
            <w:pPr>
              <w:snapToGrid w:val="0"/>
              <w:spacing w:line="360" w:lineRule="auto"/>
              <w:ind w:firstLineChars="200" w:firstLine="600"/>
              <w:jc w:val="center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 w:rsidRPr="009A7278"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合计</w:t>
            </w:r>
          </w:p>
        </w:tc>
        <w:tc>
          <w:tcPr>
            <w:tcW w:w="1344" w:type="dxa"/>
            <w:vAlign w:val="center"/>
          </w:tcPr>
          <w:p w:rsidR="006A0206" w:rsidRPr="009A7278" w:rsidRDefault="00C57A49" w:rsidP="009A7278">
            <w:pPr>
              <w:snapToGrid w:val="0"/>
              <w:spacing w:line="360" w:lineRule="auto"/>
              <w:jc w:val="center"/>
              <w:rPr>
                <w:rFonts w:ascii="仿宋_GB2312" w:eastAsia="仿宋_GB2312" w:hAnsiTheme="minorEastAsia" w:cstheme="minorEastAsia"/>
                <w:sz w:val="30"/>
                <w:szCs w:val="30"/>
              </w:rPr>
            </w:pPr>
            <w:r w:rsidRPr="009A7278">
              <w:rPr>
                <w:rFonts w:ascii="仿宋_GB2312" w:eastAsia="仿宋_GB2312" w:hAnsiTheme="minorEastAsia" w:cstheme="minorEastAsia" w:hint="eastAsia"/>
                <w:sz w:val="30"/>
                <w:szCs w:val="30"/>
              </w:rPr>
              <w:t>2人</w:t>
            </w:r>
          </w:p>
        </w:tc>
      </w:tr>
    </w:tbl>
    <w:p w:rsidR="006A0206" w:rsidRPr="009A7278" w:rsidRDefault="006A0206">
      <w:pPr>
        <w:widowControl/>
        <w:jc w:val="left"/>
        <w:rPr>
          <w:rFonts w:ascii="仿宋_GB2312" w:eastAsia="仿宋_GB2312" w:hAnsiTheme="minorEastAsia" w:cstheme="minorEastAsia"/>
          <w:sz w:val="30"/>
          <w:szCs w:val="30"/>
        </w:rPr>
      </w:pPr>
      <w:bookmarkStart w:id="0" w:name="_GoBack"/>
      <w:bookmarkEnd w:id="0"/>
    </w:p>
    <w:sectPr w:rsidR="006A0206" w:rsidRPr="009A7278" w:rsidSect="006A0206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4D" w:rsidRDefault="004C774D" w:rsidP="003554C7">
      <w:r>
        <w:separator/>
      </w:r>
    </w:p>
  </w:endnote>
  <w:endnote w:type="continuationSeparator" w:id="0">
    <w:p w:rsidR="004C774D" w:rsidRDefault="004C774D" w:rsidP="0035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4D" w:rsidRDefault="004C774D" w:rsidP="003554C7">
      <w:r>
        <w:separator/>
      </w:r>
    </w:p>
  </w:footnote>
  <w:footnote w:type="continuationSeparator" w:id="0">
    <w:p w:rsidR="004C774D" w:rsidRDefault="004C774D" w:rsidP="0035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C35"/>
    <w:rsid w:val="00000EA3"/>
    <w:rsid w:val="00001688"/>
    <w:rsid w:val="000338B0"/>
    <w:rsid w:val="0004792F"/>
    <w:rsid w:val="00072ABB"/>
    <w:rsid w:val="00077E6B"/>
    <w:rsid w:val="000A1C5B"/>
    <w:rsid w:val="000C3ECF"/>
    <w:rsid w:val="0015320E"/>
    <w:rsid w:val="001A5B82"/>
    <w:rsid w:val="001B54B2"/>
    <w:rsid w:val="001C0122"/>
    <w:rsid w:val="001F4AC2"/>
    <w:rsid w:val="00205E7C"/>
    <w:rsid w:val="00213B98"/>
    <w:rsid w:val="00235A95"/>
    <w:rsid w:val="00264319"/>
    <w:rsid w:val="00275F27"/>
    <w:rsid w:val="002966D4"/>
    <w:rsid w:val="00297B4C"/>
    <w:rsid w:val="00297D77"/>
    <w:rsid w:val="002A0816"/>
    <w:rsid w:val="002C5DC7"/>
    <w:rsid w:val="002E5692"/>
    <w:rsid w:val="002E6D1F"/>
    <w:rsid w:val="002F21CE"/>
    <w:rsid w:val="00304DC8"/>
    <w:rsid w:val="00354AB1"/>
    <w:rsid w:val="003551C1"/>
    <w:rsid w:val="003554C7"/>
    <w:rsid w:val="00371DC1"/>
    <w:rsid w:val="00381C71"/>
    <w:rsid w:val="0039305A"/>
    <w:rsid w:val="003E144C"/>
    <w:rsid w:val="003F6C69"/>
    <w:rsid w:val="00435600"/>
    <w:rsid w:val="00442602"/>
    <w:rsid w:val="00443FA0"/>
    <w:rsid w:val="0045074F"/>
    <w:rsid w:val="00453D98"/>
    <w:rsid w:val="0045447B"/>
    <w:rsid w:val="0047127A"/>
    <w:rsid w:val="00476503"/>
    <w:rsid w:val="004C774D"/>
    <w:rsid w:val="00546037"/>
    <w:rsid w:val="005972C4"/>
    <w:rsid w:val="005D1BE5"/>
    <w:rsid w:val="00630B1F"/>
    <w:rsid w:val="006420EC"/>
    <w:rsid w:val="006558A0"/>
    <w:rsid w:val="0066622C"/>
    <w:rsid w:val="00684D8B"/>
    <w:rsid w:val="006A0206"/>
    <w:rsid w:val="006A098B"/>
    <w:rsid w:val="006C6314"/>
    <w:rsid w:val="006F72BC"/>
    <w:rsid w:val="00706702"/>
    <w:rsid w:val="00712FA2"/>
    <w:rsid w:val="00713C69"/>
    <w:rsid w:val="0071583D"/>
    <w:rsid w:val="00785528"/>
    <w:rsid w:val="00786B18"/>
    <w:rsid w:val="007C40C0"/>
    <w:rsid w:val="007D22BD"/>
    <w:rsid w:val="007F14A8"/>
    <w:rsid w:val="007F2A2E"/>
    <w:rsid w:val="00804DFE"/>
    <w:rsid w:val="00847655"/>
    <w:rsid w:val="008A1401"/>
    <w:rsid w:val="008A6F67"/>
    <w:rsid w:val="008D180E"/>
    <w:rsid w:val="00921426"/>
    <w:rsid w:val="00924968"/>
    <w:rsid w:val="00937016"/>
    <w:rsid w:val="00940AFB"/>
    <w:rsid w:val="00964F0A"/>
    <w:rsid w:val="00976634"/>
    <w:rsid w:val="00997F41"/>
    <w:rsid w:val="009A7278"/>
    <w:rsid w:val="009C2308"/>
    <w:rsid w:val="009E011E"/>
    <w:rsid w:val="00A22D2F"/>
    <w:rsid w:val="00A26B99"/>
    <w:rsid w:val="00A6309D"/>
    <w:rsid w:val="00A63BFB"/>
    <w:rsid w:val="00A911C2"/>
    <w:rsid w:val="00AA0FF5"/>
    <w:rsid w:val="00AB5EAB"/>
    <w:rsid w:val="00AD39B3"/>
    <w:rsid w:val="00AD51FE"/>
    <w:rsid w:val="00B00E8A"/>
    <w:rsid w:val="00B03975"/>
    <w:rsid w:val="00B16909"/>
    <w:rsid w:val="00B26D83"/>
    <w:rsid w:val="00B27BBC"/>
    <w:rsid w:val="00B42D0F"/>
    <w:rsid w:val="00B4611F"/>
    <w:rsid w:val="00B664D0"/>
    <w:rsid w:val="00B73AF2"/>
    <w:rsid w:val="00B84A58"/>
    <w:rsid w:val="00B96E3D"/>
    <w:rsid w:val="00BC270F"/>
    <w:rsid w:val="00C013AB"/>
    <w:rsid w:val="00C04A93"/>
    <w:rsid w:val="00C115DE"/>
    <w:rsid w:val="00C3139D"/>
    <w:rsid w:val="00C5218D"/>
    <w:rsid w:val="00C54210"/>
    <w:rsid w:val="00C553E3"/>
    <w:rsid w:val="00C57A49"/>
    <w:rsid w:val="00CC2CE4"/>
    <w:rsid w:val="00CC2ECE"/>
    <w:rsid w:val="00CF590D"/>
    <w:rsid w:val="00D02466"/>
    <w:rsid w:val="00D05C14"/>
    <w:rsid w:val="00D07CA5"/>
    <w:rsid w:val="00D43232"/>
    <w:rsid w:val="00D64811"/>
    <w:rsid w:val="00D73600"/>
    <w:rsid w:val="00DA5C6C"/>
    <w:rsid w:val="00DB3589"/>
    <w:rsid w:val="00DB3AB0"/>
    <w:rsid w:val="00DC202A"/>
    <w:rsid w:val="00DC4ED5"/>
    <w:rsid w:val="00DD1D3A"/>
    <w:rsid w:val="00DD53C3"/>
    <w:rsid w:val="00E04C35"/>
    <w:rsid w:val="00E17E60"/>
    <w:rsid w:val="00E2089D"/>
    <w:rsid w:val="00E4268E"/>
    <w:rsid w:val="00E52619"/>
    <w:rsid w:val="00E63CC5"/>
    <w:rsid w:val="00E924B6"/>
    <w:rsid w:val="00E96B4E"/>
    <w:rsid w:val="00EA4B36"/>
    <w:rsid w:val="00EC5E71"/>
    <w:rsid w:val="00F043FC"/>
    <w:rsid w:val="00F433EB"/>
    <w:rsid w:val="00F51FA9"/>
    <w:rsid w:val="00F64BA6"/>
    <w:rsid w:val="00F70A5A"/>
    <w:rsid w:val="00FA4F15"/>
    <w:rsid w:val="00FB63CB"/>
    <w:rsid w:val="00FE6222"/>
    <w:rsid w:val="04A922BF"/>
    <w:rsid w:val="0A0324AF"/>
    <w:rsid w:val="0E0C192E"/>
    <w:rsid w:val="10A858DC"/>
    <w:rsid w:val="16344F7F"/>
    <w:rsid w:val="19E91A94"/>
    <w:rsid w:val="1C55720A"/>
    <w:rsid w:val="23347465"/>
    <w:rsid w:val="312E6616"/>
    <w:rsid w:val="376E17E2"/>
    <w:rsid w:val="39162A8C"/>
    <w:rsid w:val="454B7585"/>
    <w:rsid w:val="46D13DA7"/>
    <w:rsid w:val="4FC5219D"/>
    <w:rsid w:val="55011308"/>
    <w:rsid w:val="68590832"/>
    <w:rsid w:val="74BC29A9"/>
    <w:rsid w:val="75043163"/>
    <w:rsid w:val="76582474"/>
    <w:rsid w:val="7ECC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3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06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A0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A0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A0206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rsid w:val="006A02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6A0206"/>
    <w:rPr>
      <w:b/>
    </w:rPr>
  </w:style>
  <w:style w:type="character" w:styleId="a8">
    <w:name w:val="Hyperlink"/>
    <w:basedOn w:val="a0"/>
    <w:unhideWhenUsed/>
    <w:rsid w:val="006A020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A0206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6A0206"/>
    <w:rPr>
      <w:rFonts w:ascii="等线" w:eastAsia="等线" w:hAnsi="等线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A0206"/>
    <w:rPr>
      <w:rFonts w:ascii="等线" w:eastAsia="等线" w:hAnsi="等线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6A0206"/>
    <w:rPr>
      <w:color w:val="605E5C"/>
      <w:shd w:val="clear" w:color="auto" w:fill="E1DFDD"/>
    </w:rPr>
  </w:style>
  <w:style w:type="paragraph" w:customStyle="1" w:styleId="reader-word-layer">
    <w:name w:val="reader-word-layer"/>
    <w:basedOn w:val="a"/>
    <w:qFormat/>
    <w:rsid w:val="006A02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222854-ECEB-448D-A1E6-71DCF5F4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524</Words>
  <Characters>546</Characters>
  <Application>Microsoft Office Word</Application>
  <DocSecurity>0</DocSecurity>
  <Lines>42</Lines>
  <Paragraphs>59</Paragraphs>
  <ScaleCrop>false</ScaleCrop>
  <Company>DoubleOX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袁春艳</cp:lastModifiedBy>
  <cp:revision>21</cp:revision>
  <cp:lastPrinted>2019-11-21T01:06:00Z</cp:lastPrinted>
  <dcterms:created xsi:type="dcterms:W3CDTF">2019-11-21T07:06:00Z</dcterms:created>
  <dcterms:modified xsi:type="dcterms:W3CDTF">2020-05-07T10:07:00Z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